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A3C2" w14:textId="4F5A061A" w:rsidR="001B411D" w:rsidRDefault="001B411D" w:rsidP="00F36F9E">
      <w:pPr>
        <w:spacing w:before="120" w:after="120"/>
        <w:rPr>
          <w:rFonts w:eastAsia="Times New Roman"/>
        </w:rPr>
      </w:pPr>
      <w:r>
        <w:rPr>
          <w:rFonts w:eastAsia="Times New Roman"/>
        </w:rPr>
        <w:t>NSW E</w:t>
      </w:r>
      <w:r w:rsidR="00B60D91">
        <w:rPr>
          <w:rFonts w:eastAsia="Times New Roman"/>
        </w:rPr>
        <w:t xml:space="preserve">nvironmental </w:t>
      </w:r>
      <w:r>
        <w:rPr>
          <w:rFonts w:eastAsia="Times New Roman"/>
        </w:rPr>
        <w:t>P</w:t>
      </w:r>
      <w:r w:rsidR="00B60D91">
        <w:rPr>
          <w:rFonts w:eastAsia="Times New Roman"/>
        </w:rPr>
        <w:t xml:space="preserve">rotection </w:t>
      </w:r>
      <w:r>
        <w:rPr>
          <w:rFonts w:eastAsia="Times New Roman"/>
        </w:rPr>
        <w:t>A</w:t>
      </w:r>
      <w:r w:rsidR="00B60D91">
        <w:rPr>
          <w:rFonts w:eastAsia="Times New Roman"/>
        </w:rPr>
        <w:t>uthority</w:t>
      </w:r>
      <w:r w:rsidR="00501599">
        <w:rPr>
          <w:rFonts w:eastAsia="Times New Roman"/>
        </w:rPr>
        <w:br/>
      </w:r>
      <w:r w:rsidR="00501599">
        <w:t xml:space="preserve">Locked Bag 5022, </w:t>
      </w:r>
      <w:r w:rsidR="00501599">
        <w:br/>
        <w:t>Parramatta NSW 2124</w:t>
      </w:r>
    </w:p>
    <w:p w14:paraId="4C70C2F9" w14:textId="77777777" w:rsidR="001B411D" w:rsidRDefault="001B411D" w:rsidP="00F36F9E">
      <w:pPr>
        <w:spacing w:before="120" w:after="120"/>
        <w:rPr>
          <w:rFonts w:eastAsia="Times New Roman"/>
        </w:rPr>
      </w:pPr>
    </w:p>
    <w:p w14:paraId="6F52D4A9" w14:textId="3E3771BB" w:rsidR="001B411D" w:rsidRDefault="00850AA6" w:rsidP="00F36F9E">
      <w:pPr>
        <w:spacing w:before="120" w:after="120"/>
        <w:rPr>
          <w:rFonts w:eastAsia="Times New Roman"/>
        </w:rPr>
      </w:pPr>
      <w:r w:rsidRPr="00850AA6">
        <w:rPr>
          <w:rFonts w:eastAsia="Times New Roman"/>
          <w:b/>
          <w:bCs/>
        </w:rPr>
        <w:t xml:space="preserve">INSERT </w:t>
      </w:r>
      <w:r w:rsidR="00111DA7" w:rsidRPr="00850AA6">
        <w:rPr>
          <w:rFonts w:eastAsia="Times New Roman"/>
          <w:b/>
          <w:bCs/>
        </w:rPr>
        <w:t>DATE</w:t>
      </w:r>
      <w:r w:rsidR="008375BD">
        <w:rPr>
          <w:rFonts w:eastAsia="Times New Roman"/>
        </w:rPr>
        <w:t xml:space="preserve"> March 2022</w:t>
      </w:r>
    </w:p>
    <w:p w14:paraId="5FB83F50" w14:textId="1A37AF63" w:rsidR="001B411D" w:rsidRDefault="001B411D" w:rsidP="00ED0F67">
      <w:pPr>
        <w:tabs>
          <w:tab w:val="left" w:pos="1791"/>
        </w:tabs>
        <w:spacing w:before="120" w:after="120"/>
        <w:rPr>
          <w:rFonts w:eastAsia="Times New Roman"/>
        </w:rPr>
      </w:pPr>
    </w:p>
    <w:p w14:paraId="2EE0AC09" w14:textId="57B5422B" w:rsidR="00F36F9E" w:rsidRDefault="00F36F9E" w:rsidP="00F36F9E">
      <w:pPr>
        <w:spacing w:before="120" w:after="120"/>
        <w:rPr>
          <w:rFonts w:eastAsia="Times New Roman"/>
        </w:rPr>
      </w:pPr>
      <w:r>
        <w:rPr>
          <w:rFonts w:eastAsia="Times New Roman"/>
        </w:rPr>
        <w:t>Dear Sir/Madam</w:t>
      </w:r>
    </w:p>
    <w:p w14:paraId="7276053C" w14:textId="1F662E5A" w:rsidR="00990AFE" w:rsidRDefault="00F36F9E" w:rsidP="00A712C4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RE: DRAFT </w:t>
      </w:r>
      <w:r w:rsidR="00271CEC">
        <w:rPr>
          <w:rFonts w:eastAsia="Times New Roman"/>
        </w:rPr>
        <w:t>PEO (GENERAL) AMENDMENT (THERMAL ENERGY FROM WASTE) REGULATION 2021</w:t>
      </w:r>
    </w:p>
    <w:p w14:paraId="03675D33" w14:textId="1B5CC035" w:rsidR="00F76AB9" w:rsidRPr="00F76AB9" w:rsidRDefault="00850AA6" w:rsidP="00F76AB9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 </w:t>
      </w:r>
      <w:r w:rsidR="00F76AB9" w:rsidRPr="00F76AB9">
        <w:rPr>
          <w:rFonts w:eastAsia="Times New Roman"/>
          <w:b/>
          <w:bCs/>
        </w:rPr>
        <w:t>do not support the incineration of waste at any location because:</w:t>
      </w:r>
    </w:p>
    <w:p w14:paraId="2F6F2F04" w14:textId="77777777" w:rsidR="00F76AB9" w:rsidRPr="00F76AB9" w:rsidRDefault="00F76AB9" w:rsidP="00F76AB9">
      <w:pPr>
        <w:pStyle w:val="ListParagraph"/>
        <w:numPr>
          <w:ilvl w:val="0"/>
          <w:numId w:val="5"/>
        </w:numPr>
        <w:spacing w:before="120"/>
        <w:ind w:left="357" w:hanging="357"/>
        <w:rPr>
          <w:rFonts w:eastAsia="Times New Roman"/>
        </w:rPr>
      </w:pPr>
      <w:bookmarkStart w:id="0" w:name="_Hlk98009279"/>
      <w:r w:rsidRPr="00F76AB9">
        <w:rPr>
          <w:rFonts w:eastAsia="Times New Roman"/>
        </w:rPr>
        <w:t xml:space="preserve">Burning waste is NOT part of a circular economy as once burnt the resource is gone forever and can never be recovered or reused. Burning recovered materials is a prime example of a linear, single use economy – not a circular one. </w:t>
      </w:r>
    </w:p>
    <w:p w14:paraId="576B7CDA" w14:textId="77777777" w:rsidR="00F76AB9" w:rsidRPr="009C1CFF" w:rsidRDefault="00F76AB9" w:rsidP="00F76AB9">
      <w:pPr>
        <w:rPr>
          <w:rFonts w:eastAsia="Times New Roman"/>
          <w:sz w:val="16"/>
          <w:szCs w:val="16"/>
        </w:rPr>
      </w:pPr>
    </w:p>
    <w:p w14:paraId="51A18D36" w14:textId="112BDCDF" w:rsidR="00F76AB9" w:rsidRPr="00F76AB9" w:rsidRDefault="00F76AB9" w:rsidP="00F76AB9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 w:rsidRPr="00F76AB9">
        <w:rPr>
          <w:rFonts w:eastAsia="Times New Roman"/>
        </w:rPr>
        <w:t xml:space="preserve">There is a viable alternative to burning waste which is practised widely throughout the EU </w:t>
      </w:r>
      <w:proofErr w:type="gramStart"/>
      <w:r w:rsidR="00E623C4" w:rsidRPr="00F76AB9">
        <w:rPr>
          <w:rFonts w:eastAsia="Times New Roman"/>
        </w:rPr>
        <w:t>i.e.</w:t>
      </w:r>
      <w:proofErr w:type="gramEnd"/>
      <w:r w:rsidRPr="00F76AB9">
        <w:rPr>
          <w:rFonts w:eastAsia="Times New Roman"/>
        </w:rPr>
        <w:t xml:space="preserve"> the creation of a circular economy where materials are recovered and reused to reduce material going to landfill rather than being burnt – and this is possible even for medical waste</w:t>
      </w:r>
      <w:r w:rsidRPr="00F76AB9">
        <w:rPr>
          <w:rStyle w:val="EndnoteReference"/>
          <w:rFonts w:eastAsia="Times New Roman"/>
        </w:rPr>
        <w:endnoteReference w:id="1"/>
      </w:r>
      <w:r w:rsidRPr="00F76AB9">
        <w:rPr>
          <w:rFonts w:eastAsia="Times New Roman"/>
        </w:rPr>
        <w:t>.</w:t>
      </w:r>
    </w:p>
    <w:p w14:paraId="3DB33E8A" w14:textId="77777777" w:rsidR="00F76AB9" w:rsidRPr="009C1CFF" w:rsidRDefault="00F76AB9" w:rsidP="00F76AB9">
      <w:pPr>
        <w:rPr>
          <w:rFonts w:eastAsia="Times New Roman"/>
          <w:sz w:val="16"/>
          <w:szCs w:val="16"/>
        </w:rPr>
      </w:pPr>
    </w:p>
    <w:p w14:paraId="2072F985" w14:textId="77777777" w:rsidR="00F76AB9" w:rsidRPr="00F76AB9" w:rsidRDefault="00F76AB9" w:rsidP="00F76AB9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 w:rsidRPr="00F76AB9">
        <w:rPr>
          <w:rFonts w:eastAsia="Times New Roman"/>
        </w:rPr>
        <w:t>A Circular Economy will produce huge economic and social benefits to the NSW Economy in terms of permanent, skilled jobs and a healthier environment.  For example, the recent PricewaterhouseCoopers (PwC) study, “Building a More Circular Australia”</w:t>
      </w:r>
      <w:r w:rsidRPr="00F76AB9">
        <w:rPr>
          <w:rStyle w:val="EndnoteReference"/>
          <w:rFonts w:eastAsia="Times New Roman"/>
        </w:rPr>
        <w:endnoteReference w:id="2"/>
      </w:r>
      <w:r w:rsidRPr="00F76AB9">
        <w:rPr>
          <w:rFonts w:eastAsia="Times New Roman"/>
        </w:rPr>
        <w:t xml:space="preserve"> estimates that the cumulative economic benefit to NSW of moving to a circular economy through to 2040 would be $648 billion.</w:t>
      </w:r>
      <w:r w:rsidRPr="00F76AB9">
        <w:rPr>
          <w:vertAlign w:val="superscript"/>
        </w:rPr>
        <w:t>2a</w:t>
      </w:r>
    </w:p>
    <w:p w14:paraId="75DB1E6F" w14:textId="77777777" w:rsidR="00F76AB9" w:rsidRPr="009C1CFF" w:rsidRDefault="00F76AB9" w:rsidP="00F76AB9">
      <w:pPr>
        <w:rPr>
          <w:rFonts w:eastAsia="Times New Roman"/>
          <w:sz w:val="16"/>
          <w:szCs w:val="16"/>
        </w:rPr>
      </w:pPr>
    </w:p>
    <w:p w14:paraId="722B6E39" w14:textId="77777777" w:rsidR="00F76AB9" w:rsidRPr="00F76AB9" w:rsidRDefault="00F76AB9" w:rsidP="00F76AB9">
      <w:pPr>
        <w:pStyle w:val="ListParagraph"/>
        <w:numPr>
          <w:ilvl w:val="0"/>
          <w:numId w:val="5"/>
        </w:numPr>
        <w:spacing w:before="120" w:after="120"/>
        <w:rPr>
          <w:rFonts w:eastAsia="Times New Roman"/>
        </w:rPr>
      </w:pPr>
      <w:r w:rsidRPr="00F76AB9">
        <w:rPr>
          <w:rFonts w:eastAsia="Times New Roman"/>
        </w:rPr>
        <w:t xml:space="preserve">The chronic, 24/7 exposure to low level heavy metals, acid gases and Persistent Organic Pollutants (POPs) by the ingestion and inhalation of ultrafine particles emitted when waste is burnt causing long-term health and environmental impacts are unacceptable, </w:t>
      </w:r>
      <w:proofErr w:type="gramStart"/>
      <w:r w:rsidRPr="00F76AB9">
        <w:rPr>
          <w:rFonts w:eastAsia="Times New Roman"/>
        </w:rPr>
        <w:t>e.g.</w:t>
      </w:r>
      <w:proofErr w:type="gramEnd"/>
      <w:r w:rsidRPr="00F76AB9">
        <w:rPr>
          <w:rFonts w:eastAsia="Times New Roman"/>
        </w:rPr>
        <w:t xml:space="preserve"> cancers, reproductive dysfunction and congenital birth defects. </w:t>
      </w:r>
      <w:r w:rsidRPr="00F76AB9">
        <w:rPr>
          <w:rFonts w:eastAsia="Times New Roman"/>
        </w:rPr>
        <w:br/>
        <w:t>Recent research carried out in the EU clearly demonstrates this.</w:t>
      </w:r>
      <w:r w:rsidRPr="00F76AB9">
        <w:rPr>
          <w:rStyle w:val="EndnoteReference"/>
          <w:rFonts w:eastAsia="Times New Roman"/>
        </w:rPr>
        <w:endnoteReference w:id="3"/>
      </w:r>
      <w:r w:rsidRPr="00F76AB9">
        <w:rPr>
          <w:rFonts w:eastAsia="Times New Roman"/>
          <w:vertAlign w:val="superscript"/>
        </w:rPr>
        <w:t>,</w:t>
      </w:r>
      <w:r w:rsidRPr="00F76AB9">
        <w:rPr>
          <w:rStyle w:val="EndnoteReference"/>
          <w:rFonts w:eastAsia="Times New Roman"/>
        </w:rPr>
        <w:endnoteReference w:id="4"/>
      </w:r>
    </w:p>
    <w:bookmarkEnd w:id="0"/>
    <w:p w14:paraId="36DDD04D" w14:textId="77777777" w:rsidR="008F52FD" w:rsidRPr="009C1CFF" w:rsidRDefault="008F52FD" w:rsidP="009C1CFF">
      <w:pPr>
        <w:rPr>
          <w:rFonts w:eastAsia="Times New Roman"/>
          <w:sz w:val="16"/>
          <w:szCs w:val="16"/>
        </w:rPr>
      </w:pPr>
    </w:p>
    <w:p w14:paraId="4F929919" w14:textId="531E923B" w:rsidR="00302B18" w:rsidRPr="00C765FC" w:rsidRDefault="008D6457" w:rsidP="00B45687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Issues with </w:t>
      </w:r>
      <w:r w:rsidR="009962AF">
        <w:rPr>
          <w:rFonts w:eastAsia="Times New Roman"/>
          <w:b/>
          <w:bCs/>
        </w:rPr>
        <w:t xml:space="preserve">the </w:t>
      </w:r>
      <w:r w:rsidR="00C765FC" w:rsidRPr="00C765FC">
        <w:rPr>
          <w:rFonts w:eastAsia="Times New Roman"/>
          <w:b/>
          <w:bCs/>
        </w:rPr>
        <w:t>draft regulations</w:t>
      </w:r>
    </w:p>
    <w:p w14:paraId="12408CAC" w14:textId="165F4FF4" w:rsidR="00EB2838" w:rsidRDefault="00EB2838" w:rsidP="00EB2838">
      <w:pPr>
        <w:spacing w:before="120" w:after="120"/>
        <w:rPr>
          <w:rFonts w:eastAsia="Times New Roman"/>
        </w:rPr>
      </w:pPr>
      <w:r>
        <w:rPr>
          <w:rFonts w:eastAsia="Times New Roman"/>
        </w:rPr>
        <w:t>With respect to the draft regulation that has been released for community</w:t>
      </w:r>
      <w:r w:rsidR="00427402">
        <w:rPr>
          <w:rFonts w:eastAsia="Times New Roman"/>
        </w:rPr>
        <w:t xml:space="preserve"> consultation</w:t>
      </w:r>
      <w:r>
        <w:rPr>
          <w:rFonts w:eastAsia="Times New Roman"/>
        </w:rPr>
        <w:t xml:space="preserve">, </w:t>
      </w:r>
      <w:r w:rsidR="00D101F7">
        <w:rPr>
          <w:rFonts w:eastAsia="Times New Roman"/>
        </w:rPr>
        <w:t xml:space="preserve">I/We would like to </w:t>
      </w:r>
      <w:r>
        <w:rPr>
          <w:rFonts w:eastAsia="Times New Roman"/>
        </w:rPr>
        <w:t>make the following points:</w:t>
      </w:r>
    </w:p>
    <w:p w14:paraId="21E5E51B" w14:textId="2E39BF27" w:rsidR="00EB2838" w:rsidRPr="00427402" w:rsidRDefault="00EB2838" w:rsidP="00DA786C">
      <w:pPr>
        <w:pStyle w:val="ListParagraph"/>
        <w:numPr>
          <w:ilvl w:val="0"/>
          <w:numId w:val="10"/>
        </w:numPr>
        <w:spacing w:before="120"/>
        <w:ind w:left="363" w:hanging="357"/>
        <w:rPr>
          <w:rFonts w:eastAsia="Times New Roman"/>
        </w:rPr>
      </w:pPr>
      <w:r w:rsidRPr="00427402">
        <w:rPr>
          <w:rFonts w:eastAsia="Times New Roman"/>
        </w:rPr>
        <w:t>To protect the health and environment of NSW residents, there should be no exception to the proposed prohibition of the thermal treatment of waste to energy as contained in Clause 128B.</w:t>
      </w:r>
    </w:p>
    <w:p w14:paraId="7866FBFA" w14:textId="77777777" w:rsidR="00EB2838" w:rsidRPr="00EB2838" w:rsidRDefault="00EB2838" w:rsidP="00EB2838">
      <w:pPr>
        <w:ind w:left="6"/>
        <w:rPr>
          <w:rFonts w:eastAsia="Times New Roman"/>
          <w:sz w:val="16"/>
          <w:szCs w:val="16"/>
        </w:rPr>
      </w:pPr>
    </w:p>
    <w:p w14:paraId="0B92FCBA" w14:textId="2E98851A" w:rsidR="00EB2838" w:rsidRDefault="00EB2838" w:rsidP="00DA786C">
      <w:pPr>
        <w:pStyle w:val="ListParagraph"/>
        <w:numPr>
          <w:ilvl w:val="0"/>
          <w:numId w:val="10"/>
        </w:numPr>
        <w:ind w:left="363" w:hanging="357"/>
        <w:rPr>
          <w:rFonts w:eastAsia="Times New Roman"/>
        </w:rPr>
      </w:pPr>
      <w:r>
        <w:rPr>
          <w:rFonts w:eastAsia="Times New Roman"/>
        </w:rPr>
        <w:t>Clause 128 C part 3 be retained in its present form without exception.</w:t>
      </w:r>
    </w:p>
    <w:p w14:paraId="52990A51" w14:textId="77777777" w:rsidR="00DA786C" w:rsidRPr="00DA786C" w:rsidRDefault="00DA786C" w:rsidP="00DA786C">
      <w:pPr>
        <w:ind w:left="6"/>
        <w:rPr>
          <w:rFonts w:eastAsia="Times New Roman"/>
          <w:sz w:val="16"/>
          <w:szCs w:val="16"/>
        </w:rPr>
      </w:pPr>
    </w:p>
    <w:p w14:paraId="20F61CBA" w14:textId="14E97AE0" w:rsidR="00EB2838" w:rsidRDefault="00EB2838" w:rsidP="00DA786C">
      <w:pPr>
        <w:pStyle w:val="ListParagraph"/>
        <w:numPr>
          <w:ilvl w:val="0"/>
          <w:numId w:val="10"/>
        </w:numPr>
        <w:ind w:left="363" w:hanging="357"/>
        <w:rPr>
          <w:rFonts w:eastAsia="Times New Roman"/>
        </w:rPr>
      </w:pPr>
      <w:r>
        <w:rPr>
          <w:rFonts w:eastAsia="Times New Roman"/>
        </w:rPr>
        <w:t xml:space="preserve">The note under Clause 128D </w:t>
      </w:r>
      <w:r w:rsidR="00DC10C7">
        <w:rPr>
          <w:rFonts w:eastAsia="Times New Roman"/>
        </w:rPr>
        <w:t xml:space="preserve">must be removed as it </w:t>
      </w:r>
      <w:r>
        <w:rPr>
          <w:rFonts w:eastAsia="Times New Roman"/>
        </w:rPr>
        <w:t xml:space="preserve">could potentially negate Section 128B by stating that “a licence cannot be refused if it is necessary for carrying out State significant development authorised by a development consent.” </w:t>
      </w:r>
      <w:r w:rsidR="00DC10C7">
        <w:rPr>
          <w:rFonts w:eastAsia="Times New Roman"/>
        </w:rPr>
        <w:br/>
      </w:r>
      <w:r w:rsidR="00DC10C7">
        <w:rPr>
          <w:rFonts w:eastAsia="Times New Roman"/>
        </w:rPr>
        <w:br/>
      </w:r>
      <w:r>
        <w:rPr>
          <w:rFonts w:eastAsia="Times New Roman"/>
        </w:rPr>
        <w:lastRenderedPageBreak/>
        <w:t>The effect of this note would be to exempt any State significant project from the regulation and this note must be removed from the regulation.</w:t>
      </w:r>
    </w:p>
    <w:p w14:paraId="4923A49C" w14:textId="77777777" w:rsidR="00DA786C" w:rsidRPr="00DA786C" w:rsidRDefault="00DA786C" w:rsidP="00DA786C">
      <w:pPr>
        <w:ind w:left="6"/>
        <w:rPr>
          <w:rFonts w:eastAsia="Times New Roman"/>
          <w:sz w:val="16"/>
          <w:szCs w:val="16"/>
        </w:rPr>
      </w:pPr>
    </w:p>
    <w:p w14:paraId="1CB8C50B" w14:textId="68B03BEA" w:rsidR="00EB2838" w:rsidRDefault="00EB2838" w:rsidP="00DA786C">
      <w:pPr>
        <w:pStyle w:val="ListParagraph"/>
        <w:numPr>
          <w:ilvl w:val="0"/>
          <w:numId w:val="10"/>
        </w:numPr>
        <w:ind w:left="363" w:hanging="357"/>
        <w:rPr>
          <w:rFonts w:eastAsia="Times New Roman"/>
        </w:rPr>
      </w:pPr>
      <w:r>
        <w:rPr>
          <w:rFonts w:eastAsia="Times New Roman"/>
        </w:rPr>
        <w:t>Any variation to the above should require:</w:t>
      </w:r>
    </w:p>
    <w:p w14:paraId="4FF24649" w14:textId="77777777" w:rsidR="00521645" w:rsidRPr="00521645" w:rsidRDefault="00521645" w:rsidP="00521645">
      <w:pPr>
        <w:ind w:left="6"/>
        <w:rPr>
          <w:rFonts w:eastAsia="Times New Roman"/>
          <w:sz w:val="16"/>
          <w:szCs w:val="16"/>
        </w:rPr>
      </w:pPr>
    </w:p>
    <w:p w14:paraId="03E3808E" w14:textId="1D7A204C" w:rsidR="00EB2838" w:rsidRDefault="00EB2838" w:rsidP="00521645">
      <w:pPr>
        <w:pStyle w:val="ListParagraph"/>
        <w:numPr>
          <w:ilvl w:val="0"/>
          <w:numId w:val="11"/>
        </w:numPr>
        <w:ind w:hanging="357"/>
        <w:rPr>
          <w:rFonts w:eastAsia="Times New Roman"/>
        </w:rPr>
      </w:pPr>
      <w:r>
        <w:rPr>
          <w:rFonts w:eastAsia="Times New Roman"/>
        </w:rPr>
        <w:t>Proof that no detrimental impact to the health of surrounding communities or the environment is caused and</w:t>
      </w:r>
    </w:p>
    <w:p w14:paraId="7135C492" w14:textId="77777777" w:rsidR="00521645" w:rsidRPr="00521645" w:rsidRDefault="00521645" w:rsidP="00521645">
      <w:pPr>
        <w:ind w:left="6"/>
        <w:rPr>
          <w:rFonts w:eastAsia="Times New Roman"/>
          <w:sz w:val="16"/>
          <w:szCs w:val="16"/>
        </w:rPr>
      </w:pPr>
    </w:p>
    <w:p w14:paraId="49C76721" w14:textId="77777777" w:rsidR="00EB2838" w:rsidRDefault="00EB2838" w:rsidP="00521645">
      <w:pPr>
        <w:pStyle w:val="ListParagraph"/>
        <w:numPr>
          <w:ilvl w:val="0"/>
          <w:numId w:val="11"/>
        </w:numPr>
        <w:ind w:hanging="357"/>
        <w:rPr>
          <w:rFonts w:eastAsia="Times New Roman"/>
        </w:rPr>
      </w:pPr>
      <w:r>
        <w:rPr>
          <w:rFonts w:eastAsia="Times New Roman"/>
        </w:rPr>
        <w:t>Prior extensive community consultation.</w:t>
      </w:r>
    </w:p>
    <w:p w14:paraId="186056A9" w14:textId="5D3891B3" w:rsidR="00666FC8" w:rsidRDefault="009962AF" w:rsidP="00F36F9E">
      <w:pPr>
        <w:spacing w:before="120" w:after="120"/>
        <w:rPr>
          <w:rFonts w:eastAsia="Times New Roman"/>
        </w:rPr>
      </w:pPr>
      <w:bookmarkStart w:id="1" w:name="_Hlk98009598"/>
      <w:r>
        <w:rPr>
          <w:rFonts w:eastAsia="Times New Roman"/>
        </w:rPr>
        <w:t>Could you please ensure that these issues are addressed before this regulation</w:t>
      </w:r>
      <w:r w:rsidR="005E421F">
        <w:rPr>
          <w:rFonts w:eastAsia="Times New Roman"/>
        </w:rPr>
        <w:t xml:space="preserve"> is </w:t>
      </w:r>
      <w:proofErr w:type="gramStart"/>
      <w:r w:rsidR="005E421F">
        <w:rPr>
          <w:rFonts w:eastAsia="Times New Roman"/>
        </w:rPr>
        <w:t>adopted</w:t>
      </w:r>
      <w:r w:rsidR="008B603E">
        <w:rPr>
          <w:rFonts w:eastAsia="Times New Roman"/>
        </w:rPr>
        <w:t>.</w:t>
      </w:r>
      <w:proofErr w:type="gramEnd"/>
    </w:p>
    <w:bookmarkEnd w:id="1"/>
    <w:p w14:paraId="7CB29E69" w14:textId="77777777" w:rsidR="008B603E" w:rsidRDefault="008B603E" w:rsidP="00F36F9E">
      <w:pPr>
        <w:spacing w:before="120" w:after="120"/>
        <w:rPr>
          <w:rFonts w:eastAsia="Times New Roman"/>
        </w:rPr>
      </w:pPr>
    </w:p>
    <w:p w14:paraId="0BF25A71" w14:textId="2D82F7CF" w:rsidR="00666FC8" w:rsidRDefault="00E67F02" w:rsidP="00F36F9E">
      <w:pPr>
        <w:spacing w:before="120" w:after="120"/>
        <w:rPr>
          <w:rFonts w:eastAsia="Times New Roman"/>
        </w:rPr>
      </w:pPr>
      <w:r>
        <w:rPr>
          <w:rFonts w:eastAsia="Times New Roman"/>
        </w:rPr>
        <w:t>Yours faithfully</w:t>
      </w:r>
    </w:p>
    <w:p w14:paraId="1469842A" w14:textId="2EFFE912" w:rsidR="00E67F02" w:rsidRDefault="00E67F02" w:rsidP="00F36F9E">
      <w:pPr>
        <w:spacing w:before="120" w:after="120"/>
        <w:rPr>
          <w:rFonts w:eastAsia="Times New Roman"/>
        </w:rPr>
      </w:pPr>
    </w:p>
    <w:p w14:paraId="2A9D18A7" w14:textId="0BFA6E44" w:rsidR="00E67F02" w:rsidRPr="00850AA6" w:rsidRDefault="00592CA2" w:rsidP="006F6B67">
      <w:pPr>
        <w:rPr>
          <w:rFonts w:eastAsia="Times New Roman"/>
        </w:rPr>
      </w:pPr>
      <w:r w:rsidRPr="00850AA6">
        <w:rPr>
          <w:rFonts w:eastAsia="Times New Roman"/>
        </w:rPr>
        <w:t>Y</w:t>
      </w:r>
      <w:r w:rsidR="00F2602E" w:rsidRPr="00850AA6">
        <w:rPr>
          <w:rFonts w:eastAsia="Times New Roman"/>
        </w:rPr>
        <w:t>OUR NAME</w:t>
      </w:r>
    </w:p>
    <w:p w14:paraId="47CF7294" w14:textId="491C8D99" w:rsidR="006F6B67" w:rsidRDefault="00F2602E" w:rsidP="006F6B67">
      <w:pPr>
        <w:rPr>
          <w:rFonts w:eastAsia="Times New Roman"/>
        </w:rPr>
      </w:pPr>
      <w:r w:rsidRPr="00850AA6">
        <w:rPr>
          <w:rFonts w:eastAsia="Times New Roman"/>
        </w:rPr>
        <w:t>YOUR ADDRESS</w:t>
      </w:r>
    </w:p>
    <w:p w14:paraId="4C7B1851" w14:textId="2960AB87" w:rsidR="00427402" w:rsidRDefault="00427402" w:rsidP="00F36F9E">
      <w:pPr>
        <w:spacing w:before="120" w:after="120"/>
        <w:rPr>
          <w:rFonts w:eastAsia="Times New Roman"/>
        </w:rPr>
      </w:pPr>
    </w:p>
    <w:p w14:paraId="7CA1142F" w14:textId="77777777" w:rsidR="00427402" w:rsidRDefault="00427402" w:rsidP="00F36F9E">
      <w:pPr>
        <w:spacing w:before="120" w:after="120"/>
        <w:rPr>
          <w:rFonts w:eastAsia="Times New Roman"/>
        </w:rPr>
      </w:pPr>
    </w:p>
    <w:p w14:paraId="709EE237" w14:textId="2274C68C" w:rsidR="00686E68" w:rsidRPr="007536BF" w:rsidRDefault="007536BF" w:rsidP="00F36F9E">
      <w:pPr>
        <w:spacing w:before="120" w:after="120"/>
        <w:rPr>
          <w:b/>
          <w:bCs/>
        </w:rPr>
      </w:pPr>
      <w:r w:rsidRPr="007536BF">
        <w:rPr>
          <w:b/>
          <w:bCs/>
        </w:rPr>
        <w:t>REFERENCES</w:t>
      </w:r>
    </w:p>
    <w:sectPr w:rsidR="00686E68" w:rsidRPr="007536BF" w:rsidSect="005E21FA">
      <w:footerReference w:type="default" r:id="rId8"/>
      <w:endnotePr>
        <w:numFmt w:val="decimal"/>
      </w:endnotePr>
      <w:pgSz w:w="11906" w:h="16838"/>
      <w:pgMar w:top="1560" w:right="1440" w:bottom="1440" w:left="1440" w:header="51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7DB6" w14:textId="77777777" w:rsidR="00974FD5" w:rsidRDefault="00974FD5" w:rsidP="00A32483">
      <w:r>
        <w:separator/>
      </w:r>
    </w:p>
  </w:endnote>
  <w:endnote w:type="continuationSeparator" w:id="0">
    <w:p w14:paraId="6E059670" w14:textId="77777777" w:rsidR="00974FD5" w:rsidRDefault="00974FD5" w:rsidP="00A32483">
      <w:r>
        <w:continuationSeparator/>
      </w:r>
    </w:p>
  </w:endnote>
  <w:endnote w:id="1">
    <w:p w14:paraId="0730821D" w14:textId="77777777" w:rsidR="00F76AB9" w:rsidRPr="00003811" w:rsidRDefault="00F76AB9" w:rsidP="00F76AB9">
      <w:pPr>
        <w:pStyle w:val="Heading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281C9E">
        <w:rPr>
          <w:rFonts w:asciiTheme="minorHAnsi" w:hAnsiTheme="minorHAnsi" w:cstheme="minorHAnsi"/>
          <w:b w:val="0"/>
          <w:bCs w:val="0"/>
          <w:kern w:val="0"/>
          <w:sz w:val="16"/>
          <w:szCs w:val="16"/>
        </w:rPr>
        <w:endnoteRef/>
      </w:r>
      <w:r w:rsidRPr="00003811">
        <w:rPr>
          <w:b w:val="0"/>
          <w:bCs w:val="0"/>
          <w:kern w:val="0"/>
          <w:sz w:val="24"/>
          <w:szCs w:val="24"/>
        </w:rPr>
        <w:t xml:space="preserve"> </w:t>
      </w:r>
      <w:hyperlink r:id="rId1" w:history="1">
        <w:r w:rsidRPr="00003811">
          <w:rPr>
            <w:rStyle w:val="Hyperlink"/>
            <w:b w:val="0"/>
            <w:bCs w:val="0"/>
            <w:kern w:val="0"/>
            <w:sz w:val="24"/>
            <w:szCs w:val="24"/>
          </w:rPr>
          <w:t>Clinical clean up: finding ways to recycle medical waste</w:t>
        </w:r>
      </w:hyperlink>
    </w:p>
    <w:p w14:paraId="6AFC3A52" w14:textId="77777777" w:rsidR="00F76AB9" w:rsidRPr="00003811" w:rsidRDefault="00F76AB9" w:rsidP="00F76AB9">
      <w:pPr>
        <w:pStyle w:val="EndnoteText"/>
        <w:rPr>
          <w:lang w:val="en-GB"/>
        </w:rPr>
      </w:pPr>
    </w:p>
  </w:endnote>
  <w:endnote w:id="2">
    <w:p w14:paraId="695646EF" w14:textId="77777777" w:rsidR="00F76AB9" w:rsidRPr="00A816C2" w:rsidRDefault="00F76AB9" w:rsidP="00F76AB9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37AF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PricewaterhouseCoopers, “Building a More Circular Australia”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, </w:t>
      </w:r>
      <w:r>
        <w:rPr>
          <w:rFonts w:ascii="Times New Roman" w:hAnsi="Times New Roman" w:cs="Times New Roman"/>
          <w:vertAlign w:val="superscript"/>
        </w:rPr>
        <w:t>1</w:t>
      </w:r>
      <w:r w:rsidRPr="00B84114">
        <w:rPr>
          <w:rFonts w:ascii="Times New Roman" w:hAnsi="Times New Roman" w:cs="Times New Roman"/>
          <w:vertAlign w:val="superscript"/>
        </w:rPr>
        <w:t>a</w:t>
      </w:r>
      <w:r w:rsidRPr="00A816C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(table on</w:t>
      </w:r>
      <w:r w:rsidRPr="001E683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</w:t>
      </w:r>
      <w:r w:rsidRPr="001E683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</w:t>
      </w:r>
      <w:r w:rsidRPr="001E683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12)</w:t>
      </w:r>
    </w:p>
    <w:p w14:paraId="2DEC3570" w14:textId="77777777" w:rsidR="00F76AB9" w:rsidRPr="00E86DDE" w:rsidRDefault="00F76AB9" w:rsidP="00F76AB9">
      <w:pPr>
        <w:pStyle w:val="EndnoteText"/>
        <w:rPr>
          <w:lang w:val="en-GB"/>
        </w:rPr>
      </w:pPr>
    </w:p>
  </w:endnote>
  <w:endnote w:id="3">
    <w:p w14:paraId="59CAD1C4" w14:textId="77777777" w:rsidR="00F76AB9" w:rsidRPr="004B36EC" w:rsidRDefault="00F76AB9" w:rsidP="00F76AB9">
      <w:pPr>
        <w:pStyle w:val="EndnoteText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29510A">
          <w:rPr>
            <w:rStyle w:val="Hyperlink"/>
            <w:rFonts w:ascii="Times New Roman" w:hAnsi="Times New Roman" w:cs="Times New Roman"/>
            <w:sz w:val="24"/>
            <w:szCs w:val="24"/>
          </w:rPr>
          <w:t>HT Incineration-Hidden POPs Emissions-</w:t>
        </w:r>
        <w:proofErr w:type="spellStart"/>
        <w:r w:rsidRPr="0029510A">
          <w:rPr>
            <w:rStyle w:val="Hyperlink"/>
            <w:rFonts w:ascii="Times New Roman" w:hAnsi="Times New Roman" w:cs="Times New Roman"/>
            <w:sz w:val="24"/>
            <w:szCs w:val="24"/>
          </w:rPr>
          <w:t>Arkenbout</w:t>
        </w:r>
        <w:proofErr w:type="spellEnd"/>
        <w:r w:rsidRPr="0029510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9510A">
          <w:rPr>
            <w:rStyle w:val="Hyperlink"/>
            <w:rFonts w:ascii="Times New Roman" w:hAnsi="Times New Roman" w:cs="Times New Roman"/>
            <w:sz w:val="24"/>
            <w:szCs w:val="24"/>
          </w:rPr>
          <w:t>Petrlik</w:t>
        </w:r>
        <w:proofErr w:type="spellEnd"/>
        <w:r w:rsidRPr="0029510A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14:paraId="54DE425D" w14:textId="77777777" w:rsidR="00F76AB9" w:rsidRPr="008B62E6" w:rsidRDefault="00F76AB9" w:rsidP="00F76AB9">
      <w:pPr>
        <w:pStyle w:val="EndnoteText"/>
        <w:rPr>
          <w:lang w:val="en-GB"/>
        </w:rPr>
      </w:pPr>
    </w:p>
  </w:endnote>
  <w:endnote w:id="4">
    <w:p w14:paraId="6DA4D4C8" w14:textId="77777777" w:rsidR="00F76AB9" w:rsidRDefault="00F76AB9" w:rsidP="00F76AB9">
      <w:r>
        <w:rPr>
          <w:rStyle w:val="EndnoteReference"/>
        </w:rPr>
        <w:endnoteRef/>
      </w:r>
      <w:r>
        <w:t xml:space="preserve"> </w:t>
      </w:r>
      <w:hyperlink r:id="rId4" w:history="1">
        <w:r w:rsidRPr="005E5BFF">
          <w:rPr>
            <w:rStyle w:val="Hyperlink"/>
          </w:rPr>
          <w:t>IPEN, Toxic Ash Poisons Our Food Chain, 2017, Section 9, Case Studies, Newcastle, UK (Byker Waste Incinerator)</w:t>
        </w:r>
      </w:hyperlink>
    </w:p>
    <w:p w14:paraId="6783E52E" w14:textId="77777777" w:rsidR="00F76AB9" w:rsidRPr="003A4249" w:rsidRDefault="00F76AB9" w:rsidP="00F76AB9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64CA" w14:textId="6CEFF6AF" w:rsidR="00E60DF2" w:rsidRDefault="00E60DF2">
    <w:pPr>
      <w:pStyle w:val="Footer"/>
      <w:jc w:val="center"/>
    </w:pPr>
    <w:r>
      <w:t xml:space="preserve">Page </w:t>
    </w:r>
    <w:sdt>
      <w:sdtPr>
        <w:id w:val="-411247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BDCA" w14:textId="77777777" w:rsidR="00974FD5" w:rsidRDefault="00974FD5" w:rsidP="00A32483">
      <w:r>
        <w:separator/>
      </w:r>
    </w:p>
  </w:footnote>
  <w:footnote w:type="continuationSeparator" w:id="0">
    <w:p w14:paraId="664B4DF2" w14:textId="77777777" w:rsidR="00974FD5" w:rsidRDefault="00974FD5" w:rsidP="00A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78"/>
    <w:multiLevelType w:val="hybridMultilevel"/>
    <w:tmpl w:val="EEFE3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>
      <w:start w:val="1"/>
      <w:numFmt w:val="lowerRoman"/>
      <w:lvlText w:val="%3."/>
      <w:lvlJc w:val="right"/>
      <w:pPr>
        <w:ind w:left="2018" w:hanging="180"/>
      </w:pPr>
    </w:lvl>
    <w:lvl w:ilvl="3" w:tplc="0C09000F">
      <w:start w:val="1"/>
      <w:numFmt w:val="decimal"/>
      <w:lvlText w:val="%4."/>
      <w:lvlJc w:val="left"/>
      <w:pPr>
        <w:ind w:left="2738" w:hanging="360"/>
      </w:pPr>
    </w:lvl>
    <w:lvl w:ilvl="4" w:tplc="0C090019">
      <w:start w:val="1"/>
      <w:numFmt w:val="lowerLetter"/>
      <w:lvlText w:val="%5."/>
      <w:lvlJc w:val="left"/>
      <w:pPr>
        <w:ind w:left="3458" w:hanging="360"/>
      </w:pPr>
    </w:lvl>
    <w:lvl w:ilvl="5" w:tplc="0C09001B">
      <w:start w:val="1"/>
      <w:numFmt w:val="lowerRoman"/>
      <w:lvlText w:val="%6."/>
      <w:lvlJc w:val="right"/>
      <w:pPr>
        <w:ind w:left="4178" w:hanging="180"/>
      </w:pPr>
    </w:lvl>
    <w:lvl w:ilvl="6" w:tplc="0C09000F">
      <w:start w:val="1"/>
      <w:numFmt w:val="decimal"/>
      <w:lvlText w:val="%7."/>
      <w:lvlJc w:val="left"/>
      <w:pPr>
        <w:ind w:left="4898" w:hanging="360"/>
      </w:pPr>
    </w:lvl>
    <w:lvl w:ilvl="7" w:tplc="0C090019">
      <w:start w:val="1"/>
      <w:numFmt w:val="lowerLetter"/>
      <w:lvlText w:val="%8."/>
      <w:lvlJc w:val="left"/>
      <w:pPr>
        <w:ind w:left="5618" w:hanging="360"/>
      </w:pPr>
    </w:lvl>
    <w:lvl w:ilvl="8" w:tplc="0C0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0D63EF8"/>
    <w:multiLevelType w:val="hybridMultilevel"/>
    <w:tmpl w:val="6324FA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A3"/>
    <w:multiLevelType w:val="hybridMultilevel"/>
    <w:tmpl w:val="4D7E6D20"/>
    <w:lvl w:ilvl="0" w:tplc="D4208E44">
      <w:start w:val="1"/>
      <w:numFmt w:val="lowerLetter"/>
      <w:lvlText w:val="%1)"/>
      <w:lvlJc w:val="lef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>
      <w:start w:val="1"/>
      <w:numFmt w:val="decimal"/>
      <w:lvlText w:val="%4."/>
      <w:lvlJc w:val="left"/>
      <w:pPr>
        <w:ind w:left="3022" w:hanging="360"/>
      </w:pPr>
    </w:lvl>
    <w:lvl w:ilvl="4" w:tplc="0C090019">
      <w:start w:val="1"/>
      <w:numFmt w:val="lowerLetter"/>
      <w:lvlText w:val="%5."/>
      <w:lvlJc w:val="left"/>
      <w:pPr>
        <w:ind w:left="3742" w:hanging="360"/>
      </w:pPr>
    </w:lvl>
    <w:lvl w:ilvl="5" w:tplc="0C09001B">
      <w:start w:val="1"/>
      <w:numFmt w:val="lowerRoman"/>
      <w:lvlText w:val="%6."/>
      <w:lvlJc w:val="right"/>
      <w:pPr>
        <w:ind w:left="4462" w:hanging="180"/>
      </w:pPr>
    </w:lvl>
    <w:lvl w:ilvl="6" w:tplc="0C09000F">
      <w:start w:val="1"/>
      <w:numFmt w:val="decimal"/>
      <w:lvlText w:val="%7."/>
      <w:lvlJc w:val="left"/>
      <w:pPr>
        <w:ind w:left="5182" w:hanging="360"/>
      </w:pPr>
    </w:lvl>
    <w:lvl w:ilvl="7" w:tplc="0C090019">
      <w:start w:val="1"/>
      <w:numFmt w:val="lowerLetter"/>
      <w:lvlText w:val="%8."/>
      <w:lvlJc w:val="left"/>
      <w:pPr>
        <w:ind w:left="5902" w:hanging="360"/>
      </w:pPr>
    </w:lvl>
    <w:lvl w:ilvl="8" w:tplc="0C0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E56325"/>
    <w:multiLevelType w:val="hybridMultilevel"/>
    <w:tmpl w:val="BD12CF5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F032A"/>
    <w:multiLevelType w:val="hybridMultilevel"/>
    <w:tmpl w:val="16448224"/>
    <w:lvl w:ilvl="0" w:tplc="FE688E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5E52"/>
    <w:multiLevelType w:val="hybridMultilevel"/>
    <w:tmpl w:val="B64C22C8"/>
    <w:lvl w:ilvl="0" w:tplc="F20AF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321A"/>
    <w:multiLevelType w:val="hybridMultilevel"/>
    <w:tmpl w:val="1864216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1616"/>
    <w:multiLevelType w:val="hybridMultilevel"/>
    <w:tmpl w:val="3DD699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B4039"/>
    <w:multiLevelType w:val="hybridMultilevel"/>
    <w:tmpl w:val="FD3480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0A4B"/>
    <w:multiLevelType w:val="hybridMultilevel"/>
    <w:tmpl w:val="7DA234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02A2"/>
    <w:multiLevelType w:val="hybridMultilevel"/>
    <w:tmpl w:val="7B68EA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AA"/>
    <w:rsid w:val="00003811"/>
    <w:rsid w:val="0000430D"/>
    <w:rsid w:val="000864E7"/>
    <w:rsid w:val="000B25D1"/>
    <w:rsid w:val="000E39C3"/>
    <w:rsid w:val="00101DAA"/>
    <w:rsid w:val="00111DA7"/>
    <w:rsid w:val="00123243"/>
    <w:rsid w:val="00157762"/>
    <w:rsid w:val="001671D6"/>
    <w:rsid w:val="001B411D"/>
    <w:rsid w:val="001D11E3"/>
    <w:rsid w:val="001D30BB"/>
    <w:rsid w:val="001E0A72"/>
    <w:rsid w:val="001E2547"/>
    <w:rsid w:val="001E4475"/>
    <w:rsid w:val="001E5D0E"/>
    <w:rsid w:val="00216E68"/>
    <w:rsid w:val="00271CEC"/>
    <w:rsid w:val="00281C9E"/>
    <w:rsid w:val="0029510A"/>
    <w:rsid w:val="002E0974"/>
    <w:rsid w:val="00302B18"/>
    <w:rsid w:val="0032122E"/>
    <w:rsid w:val="00326DE2"/>
    <w:rsid w:val="0033292F"/>
    <w:rsid w:val="00344B52"/>
    <w:rsid w:val="003503F4"/>
    <w:rsid w:val="00377446"/>
    <w:rsid w:val="003921EA"/>
    <w:rsid w:val="00392FD8"/>
    <w:rsid w:val="003A4249"/>
    <w:rsid w:val="003C48B4"/>
    <w:rsid w:val="00427402"/>
    <w:rsid w:val="00446B96"/>
    <w:rsid w:val="00462914"/>
    <w:rsid w:val="004B36EC"/>
    <w:rsid w:val="004E6F36"/>
    <w:rsid w:val="00501599"/>
    <w:rsid w:val="00502460"/>
    <w:rsid w:val="00514CE9"/>
    <w:rsid w:val="00521645"/>
    <w:rsid w:val="00551DFE"/>
    <w:rsid w:val="00592CA2"/>
    <w:rsid w:val="005C55EF"/>
    <w:rsid w:val="005E21FA"/>
    <w:rsid w:val="005E421F"/>
    <w:rsid w:val="00604C4F"/>
    <w:rsid w:val="00606D3D"/>
    <w:rsid w:val="00666FC8"/>
    <w:rsid w:val="00686E68"/>
    <w:rsid w:val="006B4E93"/>
    <w:rsid w:val="006D7F4B"/>
    <w:rsid w:val="006F6B67"/>
    <w:rsid w:val="007536BF"/>
    <w:rsid w:val="007A588D"/>
    <w:rsid w:val="007E6D74"/>
    <w:rsid w:val="00806522"/>
    <w:rsid w:val="008375BD"/>
    <w:rsid w:val="00850AA6"/>
    <w:rsid w:val="00883E25"/>
    <w:rsid w:val="008B603E"/>
    <w:rsid w:val="008B62E6"/>
    <w:rsid w:val="008B6A32"/>
    <w:rsid w:val="008D6457"/>
    <w:rsid w:val="008F52FD"/>
    <w:rsid w:val="00952952"/>
    <w:rsid w:val="009619D8"/>
    <w:rsid w:val="00974FD5"/>
    <w:rsid w:val="00990AFE"/>
    <w:rsid w:val="009962AF"/>
    <w:rsid w:val="009B0AC1"/>
    <w:rsid w:val="009C1CFF"/>
    <w:rsid w:val="009D09C3"/>
    <w:rsid w:val="00A212E0"/>
    <w:rsid w:val="00A32483"/>
    <w:rsid w:val="00A712C4"/>
    <w:rsid w:val="00AC415F"/>
    <w:rsid w:val="00AF6AE5"/>
    <w:rsid w:val="00B45687"/>
    <w:rsid w:val="00B57369"/>
    <w:rsid w:val="00B60D91"/>
    <w:rsid w:val="00BE129F"/>
    <w:rsid w:val="00BE36A3"/>
    <w:rsid w:val="00C231B1"/>
    <w:rsid w:val="00C765FC"/>
    <w:rsid w:val="00C862CB"/>
    <w:rsid w:val="00C87E53"/>
    <w:rsid w:val="00CB0903"/>
    <w:rsid w:val="00CC3572"/>
    <w:rsid w:val="00CC4DB5"/>
    <w:rsid w:val="00CD3FB7"/>
    <w:rsid w:val="00CE1D54"/>
    <w:rsid w:val="00CF13FC"/>
    <w:rsid w:val="00D04C91"/>
    <w:rsid w:val="00D061CF"/>
    <w:rsid w:val="00D101F7"/>
    <w:rsid w:val="00D23DF9"/>
    <w:rsid w:val="00D2647D"/>
    <w:rsid w:val="00D772CF"/>
    <w:rsid w:val="00D86E8B"/>
    <w:rsid w:val="00D908FE"/>
    <w:rsid w:val="00D927CD"/>
    <w:rsid w:val="00DA786C"/>
    <w:rsid w:val="00DC10C7"/>
    <w:rsid w:val="00DC768A"/>
    <w:rsid w:val="00DD5BCD"/>
    <w:rsid w:val="00E00027"/>
    <w:rsid w:val="00E54661"/>
    <w:rsid w:val="00E60DF2"/>
    <w:rsid w:val="00E623C4"/>
    <w:rsid w:val="00E67F02"/>
    <w:rsid w:val="00EB2838"/>
    <w:rsid w:val="00EC21BF"/>
    <w:rsid w:val="00ED0F67"/>
    <w:rsid w:val="00F2556A"/>
    <w:rsid w:val="00F2602E"/>
    <w:rsid w:val="00F36F9E"/>
    <w:rsid w:val="00F56136"/>
    <w:rsid w:val="00F76AB9"/>
    <w:rsid w:val="00F7735D"/>
    <w:rsid w:val="00FB26F3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F3C60"/>
  <w15:chartTrackingRefBased/>
  <w15:docId w15:val="{DD8B4DBA-8BCD-4816-816F-4CC2A22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A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0038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s">
    <w:name w:val="ljs"/>
    <w:basedOn w:val="DefaultParagraphFont"/>
    <w:rsid w:val="00F36F9E"/>
  </w:style>
  <w:style w:type="paragraph" w:styleId="ListParagraph">
    <w:name w:val="List Paragraph"/>
    <w:basedOn w:val="Normal"/>
    <w:uiPriority w:val="34"/>
    <w:qFormat/>
    <w:rsid w:val="0099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48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32483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248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324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10A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9510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51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381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F1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FC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F1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FC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publication/336650688_Hidden_emissions_of_UPOPs_Case_study_of_a_waste_incinerator_in_the_Netherlands" TargetMode="External"/><Relationship Id="rId2" Type="http://schemas.openxmlformats.org/officeDocument/2006/relationships/hyperlink" Target="https://www.pwc.com.au/important-problems/environment-social-governance/building-a-more-circular-australia.html" TargetMode="External"/><Relationship Id="rId1" Type="http://schemas.openxmlformats.org/officeDocument/2006/relationships/hyperlink" Target="https://createdigital.org.au/clinical-clean-up-recycling-medical-waste" TargetMode="External"/><Relationship Id="rId4" Type="http://schemas.openxmlformats.org/officeDocument/2006/relationships/hyperlink" Target="https://english.arnika.org/publications/download/154_351dcd078c6351c9794a639d61a175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D93F-BE1F-4284-BD19-B56ABC8B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Fifo 2986</dc:creator>
  <cp:keywords/>
  <dc:description/>
  <cp:lastModifiedBy>Chris Hanson</cp:lastModifiedBy>
  <cp:revision>5</cp:revision>
  <dcterms:created xsi:type="dcterms:W3CDTF">2022-03-12T07:36:00Z</dcterms:created>
  <dcterms:modified xsi:type="dcterms:W3CDTF">2022-03-12T09:35:00Z</dcterms:modified>
</cp:coreProperties>
</file>